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2"/>
        </w:numPr>
      </w:pPr>
      <w:r>
        <w:t xml:space="preserve">We present a simple yet powerful computational model large-scale brain dynamics</w:t>
      </w:r>
    </w:p>
    <w:p>
      <w:pPr>
        <w:pStyle w:val="ListParagraph"/>
        <w:numPr>
          <w:ilvl w:val="0"/>
          <w:numId w:val="12"/>
        </w:numPr>
      </w:pPr>
      <w:r>
        <w:t xml:space="preserve">The model computes "activity flow" across brain regions using a continuous Hopfield artificial neural network.</w:t>
      </w:r>
    </w:p>
    <w:p>
      <w:pPr>
        <w:pStyle w:val="ListParagraph"/>
        <w:numPr>
          <w:ilvl w:val="0"/>
          <w:numId w:val="12"/>
        </w:numPr>
      </w:pPr>
      <w:r>
        <w:t xml:space="preserve">Instead of training the network weights to solve specific tasks, they are initialized with empirical functional brain
connectivity.</w:t>
      </w:r>
    </w:p>
    <w:p>
      <w:pPr>
        <w:pStyle w:val="ListParagraph"/>
        <w:numPr>
          <w:ilvl w:val="0"/>
          <w:numId w:val="12"/>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2"/>
        </w:numPr>
      </w:pPr>
      <w:r>
        <w:t xml:space="preserve">The model captures the dynamic repertoire of the brain in resting conditions</w:t>
      </w:r>
    </w:p>
    <w:p>
      <w:pPr>
        <w:pStyle w:val="ListParagraph"/>
        <w:numPr>
          <w:ilvl w:val="0"/>
          <w:numId w:val="12"/>
        </w:numPr>
      </w:pPr>
      <w:r>
        <w:t xml:space="preserve">It conceptualizes both task-induced and pathological changes in brain activity as a shift in these dynamics.</w:t>
      </w:r>
    </w:p>
    <w:p>
      <w:pPr>
        <w:pStyle w:val="ListParagraph"/>
        <w:numPr>
          <w:ilvl w:val="0"/>
          <w:numId w:val="12"/>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r>
        <w:t xml:space="preserve">(</w:t>
      </w:r>
      <w:r>
        <w:t xml:space="preserve">Smith </w:t>
      </w:r>
      <w:r>
        <w:rPr>
          <w:i/>
          <w:iCs/>
        </w:rPr>
        <w:t xml:space="preserve">et al.</w:t>
      </w:r>
      <w:r>
        <w:t xml:space="preserve">, 2012</w:t>
      </w:r>
      <w:r>
        <w:t xml:space="preserve">)</w:t>
      </w:r>
      <w:r>
        <w:t xml:space="preserve">, hidden markov models </w:t>
      </w:r>
      <w:r>
        <w:t xml:space="preserve">(</w:t>
      </w:r>
      <w:r>
        <w:t xml:space="preserve">Vidaurre </w:t>
      </w:r>
      <w:r>
        <w:rPr>
          <w:i/>
          <w:iCs/>
        </w:rPr>
        <w:t xml:space="preserve">et al.</w:t>
      </w:r>
      <w:r>
        <w:t xml:space="preserve">, 2017</w:t>
      </w:r>
      <w:r>
        <w:t xml:space="preserve">)</w:t>
      </w:r>
      <w:r>
        <w:t xml:space="preserve">,
clustering </w:t>
      </w:r>
      <w:r>
        <w:t xml:space="preserve">(</w:t>
      </w:r>
      <w:r>
        <w:t xml:space="preserve">Chen </w:t>
      </w:r>
      <w:r>
        <w:rPr>
          <w:i/>
          <w:iCs/>
        </w:rPr>
        <w:t xml:space="preserve">et al.</w:t>
      </w:r>
      <w:r>
        <w:t xml:space="preserve">, 2018</w:t>
      </w:r>
      <w:r>
        <w:t xml:space="preserve">)</w:t>
      </w:r>
      <w:r>
        <w:t xml:space="preserve"> or point-process analyses to
capture co-activation patterns (CAPs, </w:t>
      </w:r>
      <w:r>
        <w:t xml:space="preserve">(</w:t>
      </w:r>
      <w:r>
        <w:t xml:space="preserve">Liu &amp; Duyn, 2013</w:t>
      </w:r>
      <w:r>
        <w:t xml:space="preserve">; </w:t>
      </w:r>
      <w:r>
        <w:t xml:space="preserve">Chen </w:t>
      </w:r>
      <w:r>
        <w:rPr>
          <w:i/>
          <w:iCs/>
        </w:rPr>
        <w:t xml:space="preserve">et al.</w:t>
      </w:r>
      <w:r>
        <w:t xml:space="preserve">, 2015</w:t>
      </w:r>
      <w:r>
        <w:t xml:space="preserve">; </w:t>
      </w:r>
      <w:r>
        <w:t xml:space="preserve">Liu </w:t>
      </w:r>
      <w:r>
        <w:rPr>
          <w:i/>
          <w:iCs/>
        </w:rPr>
        <w:t xml:space="preserve">et al.</w:t>
      </w:r>
      <w:r>
        <w:t xml:space="preserve">, 2013</w:t>
      </w:r>
      <w:r>
        <w:t xml:space="preserve">; </w:t>
      </w:r>
      <w:r>
        <w:t xml:space="preserve">Meer </w:t>
      </w:r>
      <w:r>
        <w:rPr>
          <w:i/>
          <w:iCs/>
        </w:rPr>
        <w:t xml:space="preserve">et al.</w:t>
      </w:r>
      <w:r>
        <w:t xml:space="preserve">, 2020</w:t>
      </w:r>
      <w:r>
        <w:t xml:space="preserve">)</w:t>
      </w:r>
      <w: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Kriegeskorte &amp; Douglas, 2018</w:t>
      </w:r>
      <w:r>
        <w:t xml:space="preserve">; </w:t>
      </w:r>
      <w:r>
        <w:t xml:space="preserve">Heinz </w:t>
      </w:r>
      <w:r>
        <w:rPr>
          <w:i/>
          <w:iCs/>
        </w:rPr>
        <w:t xml:space="preserve">et al.</w:t>
      </w:r>
      <w:r>
        <w:t xml:space="preserve">, 2019</w:t>
      </w:r>
      <w:r>
        <w:t xml:space="preserve">)</w:t>
      </w:r>
      <w: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r>
        <w:t xml:space="preserve">(</w:t>
      </w:r>
      <w:r>
        <w:t xml:space="preserve">Hopfield, 1982</w:t>
      </w:r>
      <w:r>
        <w:t xml:space="preserve">; </w:t>
      </w:r>
      <w:r>
        <w:t xml:space="preserve">Krotov, 2023</w:t>
      </w:r>
      <w:r>
        <w:t xml:space="preserve">)</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CBH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w:t>
      </w:r>
      <w:r>
        <w:b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r>
        <w:t xml:space="preserve">(</w:t>
      </w:r>
      <w:r>
        <w:t xml:space="preserve">Hopfield, 1982</w:t>
      </w:r>
      <w:r>
        <w:t xml:space="preserve">)</w:t>
      </w:r>
      <w: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
(</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(bi-modal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t>
      </w:r>
      <w:r>
        <w:t xml:space="preserve">Woo </w:t>
      </w:r>
      <w:r>
        <w:rPr>
          <w:i/>
          <w:iCs/>
        </w:rPr>
        <w:t xml:space="preserve">et al.</w:t>
      </w:r>
      <w:r>
        <w:t xml:space="preserve">, 2015</w:t>
      </w:r>
      <w:r>
        <w:t xml:space="preserve">)</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r>
        <w:t xml:space="preserve">(</w:t>
      </w:r>
      <w:r>
        <w:t xml:space="preserve">Woo </w:t>
      </w:r>
      <w:r>
        <w:rPr>
          <w:i/>
          <w:iCs/>
        </w:rPr>
        <w:t xml:space="preserve">et al.</w:t>
      </w:r>
      <w:r>
        <w:t xml:space="preserve">, 2015</w:t>
      </w:r>
      <w:r>
        <w:t xml:space="preserve">)</w:t>
      </w:r>
      <w:r>
        <w:t xml:space="preserve">.
</w:t>
      </w:r>
      <w:r>
        <w:rPr>
          <w:b/>
          <w:bCs/>
        </w:rPr>
        <w:t xml:space="preserve">D</w:t>
      </w:r>
      <w:r>
        <w:t xml:space="preserve"> Schematic representation of brain dynamics during pain and its up- and downregulation, visualized on the Hopfield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p>
      <w:pPr>
        <w:pStyle w:val="Heading2"/>
      </w:pPr>
      <w:r>
        <w:t xml:space="preserve">Hopfield network</w:t>
      </w:r>
    </w:p>
    <w:p>
      <w:r>
        <w:t xml:space="preserve">We employ an empirical, connectome-based Hopfield network as a means to model brain activation and dynamics, aiming to
bridge the gap between classical computational modeling and neuroconnectionism. The architecture of the Hopfield network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the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with the weight matrix </w:t>
      </w:r>
      <m:oMath>
        <m:r>
          <m:t>W</m:t>
        </m:r>
      </m:oMath>
      <w:r>
        <w:t xml:space="preserve">, the activation pattern </w:t>
      </w:r>
      <m:oMath>
        <m:r>
          <m:t>a</m:t>
        </m:r>
      </m:oMath>
      <w:r>
        <w:t xml:space="preserve"> and the bias </w:t>
      </w:r>
      <m:oMath>
        <m:r>
          <m:t>b</m:t>
        </m:r>
      </m:oMath>
      <w:r>
        <w:t xml:space="preserve">,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3"/>
      </w:pPr>
      <w:r>
        <w:t xml:space="preserve">Hopfield projection</w:t>
      </w:r>
    </w:p>
    <w:p>
      <w:pPr>
        <w:pStyle w:val="Heading2"/>
      </w:pPr>
      <w:r>
        <w:t xml:space="preserve">Data preprocessing</w:t>
      </w:r>
    </w:p>
    <w:p>
      <w:pPr>
        <w:pStyle w:val="ListParagraph"/>
        <w:numPr>
          <w:ilvl w:val="0"/>
          <w:numId w:val="13"/>
        </w:numPr>
      </w:pPr>
      <w:r>
        <w:t xml:space="preserve">BASC/MIST parcellation</w:t>
      </w:r>
    </w:p>
    <w:p>
      <w:pPr>
        <w:pStyle w:val="ListParagraph"/>
        <w:numPr>
          <w:ilvl w:val="0"/>
          <w:numId w:val="13"/>
        </w:numPr>
      </w:pPr>
      <w:r>
        <w:t xml:space="preserve">partial correlation</w:t>
      </w:r>
    </w:p>
    <w:p>
      <w:pPr>
        <w:pStyle w:val="ListParagraph"/>
        <w:numPr>
          <w:ilvl w:val="0"/>
          <w:numId w:val="13"/>
        </w:numPr>
      </w:pPr>
      <w:r>
        <w:t xml:space="preserve">The weights </w:t>
      </w:r>
      <m:oMath>
        <m:r>
          <m:t>w_{ij}</m:t>
        </m:r>
      </m:oMath>
      <w:r>
        <w:t xml:space="preserve"> have to be symmetric and the diagonal elements are set to zero.</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talsdotzcriggztqbmmmg">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X., Chang, C., &amp; Duyn, J. H. (2013). Decomposition of spontaneous brain activity into distinct fMRI co-activation patterns. </w:t>
      </w:r>
      <w:r>
        <w:rPr>
          <w:i/>
          <w:iCs/>
        </w:rPr>
        <w:t xml:space="preserve">Frontiers in Systems Neuroscience</w:t>
      </w:r>
      <w:r>
        <w:t xml:space="preserve">, </w:t>
      </w:r>
      <w:r>
        <w:rPr>
          <w:i/>
          <w:iCs/>
        </w:rPr>
        <w:t xml:space="preserve">7</w:t>
      </w:r>
      <w:r>
        <w:t xml:space="preserve">, 62295.</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lrf9mv4csttvv0og4xb-a">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l7e5xocrio5tdu8ja6i3n">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qiban1yqumik3ciw5kmwc">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talsdotzcriggztqbmmmg" Type="http://schemas.openxmlformats.org/officeDocument/2006/relationships/hyperlink" Target="https://doi.org/10.3389/conf.fninf.2011.08.00058" TargetMode="External"/><Relationship Id="rIdlrf9mv4csttvv0og4xb-a" Type="http://schemas.openxmlformats.org/officeDocument/2006/relationships/hyperlink" Target="https://doi.org/10.1162/netn_a_00234" TargetMode="External"/><Relationship Id="rIdl7e5xocrio5tdu8ja6i3n" Type="http://schemas.openxmlformats.org/officeDocument/2006/relationships/hyperlink" Target="https://doi.org/10.1038/s41467-019-13785-z" TargetMode="External"/><Relationship Id="rIdqiban1yqumik3ciw5kmwc" Type="http://schemas.openxmlformats.org/officeDocument/2006/relationships/hyperlink" Target="https://doi.org/10.1371/journal.pbio.1002036" TargetMode="External"/><Relationship Id="rId7" Type="http://schemas.openxmlformats.org/officeDocument/2006/relationships/image" Target="media/ho3rfwy9z6vsjdefoxz7j.png"/><Relationship Id="rId8" Type="http://schemas.openxmlformats.org/officeDocument/2006/relationships/image" Target="media/gjrcfmtc6bdpft2l-fxk1.png"/><Relationship Id="rId9" Type="http://schemas.openxmlformats.org/officeDocument/2006/relationships/image" Target="media/fvxlhfim2jtyqqvukdhg9.png"/><Relationship Id="rId10" Type="http://schemas.openxmlformats.org/officeDocument/2006/relationships/image" Target="media/jil5lxrkqsifxpbcqjuow.png"/><Relationship Id="rId11" Type="http://schemas.openxmlformats.org/officeDocument/2006/relationships/image" Target="media/wnj_4bz4uwxdgo6drcy19.png"/></Relationships>
</file>

<file path=word/_rels/footer1.xml.rels><?xml version="1.0" encoding="UTF-8"?><Relationships xmlns="http://schemas.openxmlformats.org/package/2006/relationships"><Relationship Id="rId0" Type="http://schemas.openxmlformats.org/officeDocument/2006/relationships/image" Target="media/drepdfdd1a0ghagsjofqw.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2023-07-25T11:49:37.461Z</dcterms:created>
  <dcterms:modified xsi:type="dcterms:W3CDTF">2023-07-25T11:49:37.461Z</dcterms:modified>
</cp:coreProperties>
</file>

<file path=docProps/custom.xml><?xml version="1.0" encoding="utf-8"?>
<Properties xmlns="http://schemas.openxmlformats.org/officeDocument/2006/custom-properties" xmlns:vt="http://schemas.openxmlformats.org/officeDocument/2006/docPropsVTypes"/>
</file>